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FF8D" w14:textId="5C6B6214" w:rsidR="003032A5" w:rsidRDefault="003032A5" w:rsidP="00A17FEB">
      <w:pPr>
        <w:ind w:left="142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TISKOVÁ ZPRÁVA, </w:t>
      </w:r>
      <w:r w:rsidR="00212416">
        <w:rPr>
          <w:rFonts w:ascii="HelveticaNeueLT Pro 55 Roman" w:hAnsi="HelveticaNeueLT Pro 55 Roman" w:cs="Times New Roman"/>
          <w:b/>
          <w:sz w:val="24"/>
          <w:szCs w:val="24"/>
        </w:rPr>
        <w:t>21</w:t>
      </w:r>
      <w:r w:rsidR="006F00E0">
        <w:rPr>
          <w:rFonts w:ascii="HelveticaNeueLT Pro 55 Roman" w:hAnsi="HelveticaNeueLT Pro 55 Roman" w:cs="Times New Roman"/>
          <w:b/>
          <w:sz w:val="24"/>
          <w:szCs w:val="24"/>
        </w:rPr>
        <w:t>. června</w:t>
      </w:r>
    </w:p>
    <w:p w14:paraId="77E5B403" w14:textId="77777777" w:rsidR="003032A5" w:rsidRDefault="003032A5" w:rsidP="00A17FEB">
      <w:pPr>
        <w:ind w:left="142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4237D798" w14:textId="1FCF9270" w:rsidR="003A03E0" w:rsidRDefault="00532D71" w:rsidP="00A17FEB">
      <w:pPr>
        <w:spacing w:line="360" w:lineRule="auto"/>
        <w:ind w:left="2124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Zná</w:t>
      </w:r>
      <w:r w:rsidR="00B45A6B">
        <w:rPr>
          <w:rFonts w:ascii="Helvetica" w:hAnsi="Helvetica" w:cs="Helvetica"/>
          <w:b/>
          <w:sz w:val="24"/>
          <w:szCs w:val="24"/>
        </w:rPr>
        <w:t xml:space="preserve">me </w:t>
      </w:r>
      <w:r>
        <w:rPr>
          <w:rFonts w:ascii="Helvetica" w:hAnsi="Helvetica" w:cs="Helvetica"/>
          <w:b/>
          <w:sz w:val="24"/>
          <w:szCs w:val="24"/>
        </w:rPr>
        <w:t>již v</w:t>
      </w:r>
      <w:r w:rsidR="006F00E0">
        <w:rPr>
          <w:rFonts w:ascii="Helvetica" w:hAnsi="Helvetica" w:cs="Helvetica"/>
          <w:b/>
          <w:sz w:val="24"/>
          <w:szCs w:val="24"/>
        </w:rPr>
        <w:t xml:space="preserve">ýsledky hospodaření </w:t>
      </w:r>
      <w:r>
        <w:rPr>
          <w:rFonts w:ascii="Helvetica" w:hAnsi="Helvetica" w:cs="Helvetica"/>
          <w:b/>
          <w:sz w:val="24"/>
          <w:szCs w:val="24"/>
        </w:rPr>
        <w:t xml:space="preserve">Kongresového centra Praha </w:t>
      </w:r>
      <w:r w:rsidR="006F00E0">
        <w:rPr>
          <w:rFonts w:ascii="Helvetica" w:hAnsi="Helvetica" w:cs="Helvetica"/>
          <w:b/>
          <w:sz w:val="24"/>
          <w:szCs w:val="24"/>
        </w:rPr>
        <w:t>za rok 2017</w:t>
      </w:r>
    </w:p>
    <w:p w14:paraId="6DEFB3BF" w14:textId="77777777" w:rsidR="00A17FEB" w:rsidRPr="00C602AD" w:rsidRDefault="00A17FEB" w:rsidP="00A17FEB">
      <w:pPr>
        <w:spacing w:line="360" w:lineRule="auto"/>
        <w:ind w:left="2124"/>
        <w:jc w:val="both"/>
        <w:rPr>
          <w:rFonts w:ascii="Helvetica" w:hAnsi="Helvetica" w:cs="Helvetica"/>
          <w:b/>
          <w:sz w:val="24"/>
          <w:szCs w:val="24"/>
        </w:rPr>
      </w:pPr>
    </w:p>
    <w:p w14:paraId="7356A979" w14:textId="303D1BC8" w:rsidR="00C602AD" w:rsidRPr="00C602AD" w:rsidRDefault="00B45A6B" w:rsidP="00A17FEB">
      <w:pPr>
        <w:spacing w:line="360" w:lineRule="auto"/>
        <w:ind w:left="2124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Na včerejší Valné hromadě společnosti byla odsouhlasena výroční zpráva včetně účetní závěrky. </w:t>
      </w:r>
      <w:r w:rsidR="006F00E0">
        <w:rPr>
          <w:rFonts w:ascii="Helvetica" w:hAnsi="Helvetica" w:cs="Helvetica"/>
          <w:b/>
          <w:sz w:val="24"/>
          <w:szCs w:val="24"/>
        </w:rPr>
        <w:t xml:space="preserve">V hospodaření </w:t>
      </w:r>
      <w:r w:rsidR="00A17FEB">
        <w:rPr>
          <w:rFonts w:ascii="Helvetica" w:hAnsi="Helvetica" w:cs="Helvetica"/>
          <w:b/>
          <w:sz w:val="24"/>
          <w:szCs w:val="24"/>
        </w:rPr>
        <w:br/>
      </w:r>
      <w:r w:rsidR="006F00E0">
        <w:rPr>
          <w:rFonts w:ascii="Helvetica" w:hAnsi="Helvetica" w:cs="Helvetica"/>
          <w:b/>
          <w:sz w:val="24"/>
          <w:szCs w:val="24"/>
        </w:rPr>
        <w:t>se v loňském roce promítl</w:t>
      </w:r>
      <w:r w:rsidR="00532D71">
        <w:rPr>
          <w:rFonts w:ascii="Helvetica" w:hAnsi="Helvetica" w:cs="Helvetica"/>
          <w:b/>
          <w:sz w:val="24"/>
          <w:szCs w:val="24"/>
        </w:rPr>
        <w:t>o zejména</w:t>
      </w:r>
      <w:r w:rsidR="006F00E0">
        <w:rPr>
          <w:rFonts w:ascii="Helvetica" w:hAnsi="Helvetica" w:cs="Helvetica"/>
          <w:b/>
          <w:sz w:val="24"/>
          <w:szCs w:val="24"/>
        </w:rPr>
        <w:t xml:space="preserve"> </w:t>
      </w:r>
      <w:r w:rsidR="00532D71">
        <w:rPr>
          <w:rFonts w:ascii="Helvetica" w:hAnsi="Helvetica" w:cs="Helvetica"/>
          <w:b/>
          <w:sz w:val="24"/>
          <w:szCs w:val="24"/>
        </w:rPr>
        <w:t xml:space="preserve">navýšení celkových tržeb a předem </w:t>
      </w:r>
      <w:r w:rsidR="006F00E0">
        <w:rPr>
          <w:rFonts w:ascii="Helvetica" w:hAnsi="Helvetica" w:cs="Helvetica"/>
          <w:b/>
          <w:sz w:val="24"/>
          <w:szCs w:val="24"/>
        </w:rPr>
        <w:t xml:space="preserve">plánovaná rekonstrukce prostor </w:t>
      </w:r>
      <w:r w:rsidR="00A17FEB">
        <w:rPr>
          <w:rFonts w:ascii="Helvetica" w:hAnsi="Helvetica" w:cs="Helvetica"/>
          <w:b/>
          <w:sz w:val="24"/>
          <w:szCs w:val="24"/>
        </w:rPr>
        <w:br/>
      </w:r>
      <w:r w:rsidR="006F00E0">
        <w:rPr>
          <w:rFonts w:ascii="Helvetica" w:hAnsi="Helvetica" w:cs="Helvetica"/>
          <w:b/>
          <w:sz w:val="24"/>
          <w:szCs w:val="24"/>
        </w:rPr>
        <w:t>a modernizace vybavení.</w:t>
      </w:r>
      <w:r w:rsidR="00A85653">
        <w:rPr>
          <w:rFonts w:ascii="Helvetica" w:hAnsi="Helvetica" w:cs="Helvetica"/>
          <w:b/>
          <w:sz w:val="24"/>
          <w:szCs w:val="24"/>
        </w:rPr>
        <w:t xml:space="preserve"> </w:t>
      </w:r>
      <w:r w:rsidR="00A85653" w:rsidRPr="00A85653">
        <w:rPr>
          <w:rFonts w:ascii="Helvetica" w:hAnsi="Helvetica" w:cs="Helvetica"/>
          <w:b/>
          <w:sz w:val="24"/>
          <w:szCs w:val="24"/>
        </w:rPr>
        <w:t xml:space="preserve">Kongresové centrum Praha navštívilo </w:t>
      </w:r>
      <w:r w:rsidR="00834883">
        <w:rPr>
          <w:rFonts w:ascii="Helvetica" w:hAnsi="Helvetica" w:cs="Helvetica"/>
          <w:b/>
          <w:sz w:val="24"/>
          <w:szCs w:val="24"/>
        </w:rPr>
        <w:t>téměř</w:t>
      </w:r>
      <w:r w:rsidR="00A85653" w:rsidRPr="00A85653">
        <w:rPr>
          <w:rFonts w:ascii="Helvetica" w:hAnsi="Helvetica" w:cs="Helvetica"/>
          <w:b/>
          <w:sz w:val="24"/>
          <w:szCs w:val="24"/>
        </w:rPr>
        <w:t xml:space="preserve"> 250 000 účastníků na 246 akcích.</w:t>
      </w:r>
    </w:p>
    <w:p w14:paraId="5EB07D31" w14:textId="77777777" w:rsidR="00CF10BE" w:rsidRPr="005B1638" w:rsidRDefault="00CF10BE" w:rsidP="00A17FEB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33BFB2EB" w14:textId="77777777" w:rsidR="006F00E0" w:rsidRPr="006F00E0" w:rsidRDefault="006F00E0" w:rsidP="00A17FEB">
      <w:pPr>
        <w:spacing w:line="360" w:lineRule="auto"/>
        <w:ind w:left="2124"/>
        <w:jc w:val="both"/>
        <w:rPr>
          <w:rStyle w:val="A4"/>
          <w:rFonts w:ascii="Helvetica" w:hAnsi="Helvetica" w:cs="Helvetica"/>
          <w:sz w:val="24"/>
          <w:szCs w:val="24"/>
        </w:rPr>
      </w:pPr>
      <w:r w:rsidRPr="006F00E0">
        <w:rPr>
          <w:rStyle w:val="A4"/>
          <w:rFonts w:ascii="Helvetica" w:hAnsi="Helvetica" w:cs="Helvetica"/>
          <w:sz w:val="24"/>
          <w:szCs w:val="24"/>
        </w:rPr>
        <w:t>V roce 2017 se podařilo dosáhnout tržeb Kongresové</w:t>
      </w:r>
      <w:r w:rsidR="00532D71">
        <w:rPr>
          <w:rStyle w:val="A4"/>
          <w:rFonts w:ascii="Helvetica" w:hAnsi="Helvetica" w:cs="Helvetica"/>
          <w:sz w:val="24"/>
          <w:szCs w:val="24"/>
        </w:rPr>
        <w:t xml:space="preserve">ho </w:t>
      </w:r>
      <w:r w:rsidRPr="006F00E0">
        <w:rPr>
          <w:rStyle w:val="A4"/>
          <w:rFonts w:ascii="Helvetica" w:hAnsi="Helvetica" w:cs="Helvetica"/>
          <w:sz w:val="24"/>
          <w:szCs w:val="24"/>
        </w:rPr>
        <w:t>centr</w:t>
      </w:r>
      <w:r w:rsidR="00532D71">
        <w:rPr>
          <w:rStyle w:val="A4"/>
          <w:rFonts w:ascii="Helvetica" w:hAnsi="Helvetica" w:cs="Helvetica"/>
          <w:sz w:val="24"/>
          <w:szCs w:val="24"/>
        </w:rPr>
        <w:t>a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Praha </w:t>
      </w:r>
      <w:r w:rsidR="00532D71">
        <w:rPr>
          <w:rStyle w:val="A4"/>
          <w:rFonts w:ascii="Helvetica" w:hAnsi="Helvetica" w:cs="Helvetica"/>
          <w:sz w:val="24"/>
          <w:szCs w:val="24"/>
        </w:rPr>
        <w:t xml:space="preserve">za celou společnost 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ve výši 488 milionů Kč a navýšit tak tento ukazatel v porovnání s předchozím rokem o více než 4 %. </w:t>
      </w:r>
      <w:r w:rsidR="00532D71">
        <w:rPr>
          <w:rStyle w:val="A4"/>
          <w:rFonts w:ascii="Helvetica" w:hAnsi="Helvetica" w:cs="Helvetica"/>
          <w:sz w:val="24"/>
          <w:szCs w:val="24"/>
        </w:rPr>
        <w:t>Nejvyšší růst meziročně o</w:t>
      </w:r>
      <w:r w:rsidR="00A85653">
        <w:rPr>
          <w:rStyle w:val="A4"/>
          <w:rFonts w:ascii="Helvetica" w:hAnsi="Helvetica" w:cs="Helvetica"/>
          <w:sz w:val="24"/>
          <w:szCs w:val="24"/>
        </w:rPr>
        <w:t xml:space="preserve"> 1</w:t>
      </w:r>
      <w:r w:rsidR="00A85653" w:rsidRPr="006F00E0">
        <w:rPr>
          <w:rStyle w:val="A4"/>
          <w:rFonts w:ascii="Helvetica" w:hAnsi="Helvetica" w:cs="Helvetica"/>
          <w:sz w:val="24"/>
          <w:szCs w:val="24"/>
        </w:rPr>
        <w:t>8 %</w:t>
      </w:r>
      <w:r w:rsidR="00532D71">
        <w:rPr>
          <w:rStyle w:val="A4"/>
          <w:rFonts w:ascii="Helvetica" w:hAnsi="Helvetica" w:cs="Helvetica"/>
          <w:sz w:val="24"/>
          <w:szCs w:val="24"/>
        </w:rPr>
        <w:t xml:space="preserve"> zaznamenal </w:t>
      </w:r>
      <w:r w:rsidRPr="006F00E0">
        <w:rPr>
          <w:rStyle w:val="A4"/>
          <w:rFonts w:ascii="Helvetica" w:hAnsi="Helvetica" w:cs="Helvetica"/>
          <w:sz w:val="24"/>
          <w:szCs w:val="24"/>
        </w:rPr>
        <w:t>hotel Holiday Inn Prague Congress Centre</w:t>
      </w:r>
      <w:r w:rsidR="00532D71">
        <w:rPr>
          <w:rStyle w:val="A4"/>
          <w:rFonts w:ascii="Helvetica" w:hAnsi="Helvetica" w:cs="Helvetica"/>
          <w:sz w:val="24"/>
          <w:szCs w:val="24"/>
        </w:rPr>
        <w:t>, který utržil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153 milionů Kč</w:t>
      </w:r>
      <w:r w:rsidR="00532D71">
        <w:rPr>
          <w:rStyle w:val="A4"/>
          <w:rFonts w:ascii="Helvetica" w:hAnsi="Helvetica" w:cs="Helvetica"/>
          <w:sz w:val="24"/>
          <w:szCs w:val="24"/>
        </w:rPr>
        <w:t>.</w:t>
      </w:r>
    </w:p>
    <w:p w14:paraId="5C3FAD59" w14:textId="77777777" w:rsidR="006F00E0" w:rsidRPr="006F00E0" w:rsidRDefault="006F00E0" w:rsidP="00A17FEB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11EA1038" w14:textId="131B724E" w:rsidR="006F00E0" w:rsidRPr="006F00E0" w:rsidRDefault="006F00E0" w:rsidP="00A17FEB">
      <w:pPr>
        <w:spacing w:line="360" w:lineRule="auto"/>
        <w:ind w:left="2124"/>
        <w:jc w:val="both"/>
        <w:rPr>
          <w:rStyle w:val="A4"/>
          <w:rFonts w:ascii="Helvetica" w:hAnsi="Helvetica" w:cs="Helvetica"/>
          <w:sz w:val="24"/>
          <w:szCs w:val="24"/>
        </w:rPr>
      </w:pPr>
      <w:r w:rsidRPr="006F00E0">
        <w:rPr>
          <w:rStyle w:val="A4"/>
          <w:rFonts w:ascii="Helvetica" w:hAnsi="Helvetica" w:cs="Helvetica"/>
          <w:sz w:val="24"/>
          <w:szCs w:val="24"/>
        </w:rPr>
        <w:t xml:space="preserve">Celkové náklady společnosti, bez vlivu rekonstrukce, byly </w:t>
      </w:r>
      <w:r w:rsidR="00532D71">
        <w:rPr>
          <w:rStyle w:val="A4"/>
          <w:rFonts w:ascii="Helvetica" w:hAnsi="Helvetica" w:cs="Helvetica"/>
          <w:sz w:val="24"/>
          <w:szCs w:val="24"/>
        </w:rPr>
        <w:t>ve výši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446 milionů Kč</w:t>
      </w:r>
      <w:r w:rsidR="008026AA">
        <w:rPr>
          <w:rStyle w:val="A4"/>
          <w:rFonts w:ascii="Helvetica" w:hAnsi="Helvetica" w:cs="Helvetica"/>
          <w:sz w:val="24"/>
          <w:szCs w:val="24"/>
        </w:rPr>
        <w:t>, očištěný výsledek hospodaření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tak dosáhl </w:t>
      </w:r>
      <w:r w:rsidR="008026AA">
        <w:rPr>
          <w:rStyle w:val="A4"/>
          <w:rFonts w:ascii="Helvetica" w:hAnsi="Helvetica" w:cs="Helvetica"/>
          <w:sz w:val="24"/>
          <w:szCs w:val="24"/>
        </w:rPr>
        <w:t xml:space="preserve">výše 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47 milionů Kč, což představuje navýšení o 5,7 % v porovnání </w:t>
      </w:r>
      <w:r w:rsidR="00966216">
        <w:rPr>
          <w:rStyle w:val="A4"/>
          <w:rFonts w:ascii="Helvetica" w:hAnsi="Helvetica" w:cs="Helvetica"/>
          <w:sz w:val="24"/>
          <w:szCs w:val="24"/>
        </w:rPr>
        <w:br/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s předchozím rokem, a to vše za pokračující rekonstrukce budovy v celkové hodnotě přesahující </w:t>
      </w:r>
      <w:r w:rsidR="00A85653" w:rsidRPr="00A85653">
        <w:rPr>
          <w:rStyle w:val="A4"/>
          <w:rFonts w:ascii="Helvetica" w:hAnsi="Helvetica" w:cs="Helvetica"/>
          <w:sz w:val="24"/>
          <w:szCs w:val="24"/>
        </w:rPr>
        <w:t xml:space="preserve">v roce 2017 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320 milionů Kč. Hospodářský výsledek roku 2017 </w:t>
      </w:r>
      <w:r w:rsidR="00CD5B33">
        <w:rPr>
          <w:rStyle w:val="A4"/>
          <w:rFonts w:ascii="Helvetica" w:hAnsi="Helvetica" w:cs="Helvetica"/>
          <w:sz w:val="24"/>
          <w:szCs w:val="24"/>
        </w:rPr>
        <w:t xml:space="preserve">po promítnutí </w:t>
      </w:r>
      <w:r w:rsidR="00CD5B33" w:rsidRPr="006F00E0">
        <w:rPr>
          <w:rStyle w:val="A4"/>
          <w:rFonts w:ascii="Helvetica" w:hAnsi="Helvetica" w:cs="Helvetica"/>
          <w:sz w:val="24"/>
          <w:szCs w:val="24"/>
        </w:rPr>
        <w:t>vliv</w:t>
      </w:r>
      <w:r w:rsidR="00CD5B33">
        <w:rPr>
          <w:rStyle w:val="A4"/>
          <w:rFonts w:ascii="Helvetica" w:hAnsi="Helvetica" w:cs="Helvetica"/>
          <w:sz w:val="24"/>
          <w:szCs w:val="24"/>
        </w:rPr>
        <w:t>u</w:t>
      </w:r>
      <w:r w:rsidR="00532D71">
        <w:rPr>
          <w:rStyle w:val="A4"/>
          <w:rFonts w:ascii="Helvetica" w:hAnsi="Helvetica" w:cs="Helvetica"/>
          <w:sz w:val="24"/>
          <w:szCs w:val="24"/>
        </w:rPr>
        <w:t xml:space="preserve"> této</w:t>
      </w:r>
      <w:r w:rsidR="00CD5B33" w:rsidRPr="006F00E0">
        <w:rPr>
          <w:rStyle w:val="A4"/>
          <w:rFonts w:ascii="Helvetica" w:hAnsi="Helvetica" w:cs="Helvetica"/>
          <w:sz w:val="24"/>
          <w:szCs w:val="24"/>
        </w:rPr>
        <w:t xml:space="preserve"> </w:t>
      </w:r>
      <w:r w:rsidRPr="006F00E0">
        <w:rPr>
          <w:rStyle w:val="A4"/>
          <w:rFonts w:ascii="Helvetica" w:hAnsi="Helvetica" w:cs="Helvetica"/>
          <w:sz w:val="24"/>
          <w:szCs w:val="24"/>
        </w:rPr>
        <w:t>rozsáhlé</w:t>
      </w:r>
      <w:r w:rsidR="00532D71">
        <w:rPr>
          <w:rStyle w:val="A4"/>
          <w:rFonts w:ascii="Helvetica" w:hAnsi="Helvetica" w:cs="Helvetica"/>
          <w:sz w:val="24"/>
          <w:szCs w:val="24"/>
        </w:rPr>
        <w:t xml:space="preserve"> investice do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</w:t>
      </w:r>
      <w:r w:rsidR="00C02FE5">
        <w:rPr>
          <w:rStyle w:val="A4"/>
          <w:rFonts w:ascii="Helvetica" w:hAnsi="Helvetica" w:cs="Helvetica"/>
          <w:sz w:val="24"/>
          <w:szCs w:val="24"/>
        </w:rPr>
        <w:t xml:space="preserve">obnovy budovy </w:t>
      </w:r>
      <w:r w:rsidR="00532D71">
        <w:rPr>
          <w:rStyle w:val="A4"/>
          <w:rFonts w:ascii="Helvetica" w:hAnsi="Helvetica" w:cs="Helvetica"/>
          <w:sz w:val="24"/>
          <w:szCs w:val="24"/>
        </w:rPr>
        <w:t xml:space="preserve">tak </w:t>
      </w:r>
      <w:r w:rsidR="00CD5B33">
        <w:rPr>
          <w:rStyle w:val="A4"/>
          <w:rFonts w:ascii="Helvetica" w:hAnsi="Helvetica" w:cs="Helvetica"/>
          <w:sz w:val="24"/>
          <w:szCs w:val="24"/>
        </w:rPr>
        <w:t>dosáhl hodnoty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</w:t>
      </w:r>
      <w:r w:rsidR="00CD5B33">
        <w:rPr>
          <w:rStyle w:val="A4"/>
          <w:rFonts w:ascii="Helvetica" w:hAnsi="Helvetica" w:cs="Helvetica"/>
          <w:sz w:val="24"/>
          <w:szCs w:val="24"/>
        </w:rPr>
        <w:t>-</w:t>
      </w:r>
      <w:r w:rsidRPr="006F00E0">
        <w:rPr>
          <w:rStyle w:val="A4"/>
          <w:rFonts w:ascii="Helvetica" w:hAnsi="Helvetica" w:cs="Helvetica"/>
          <w:sz w:val="24"/>
          <w:szCs w:val="24"/>
        </w:rPr>
        <w:t>73 milionů Kč</w:t>
      </w:r>
      <w:r w:rsidR="00532D71">
        <w:rPr>
          <w:rStyle w:val="A4"/>
          <w:rFonts w:ascii="Helvetica" w:hAnsi="Helvetica" w:cs="Helvetica"/>
          <w:sz w:val="24"/>
          <w:szCs w:val="24"/>
        </w:rPr>
        <w:t xml:space="preserve">. </w:t>
      </w:r>
    </w:p>
    <w:p w14:paraId="5B7CE280" w14:textId="0A999341" w:rsidR="006F00E0" w:rsidRDefault="006F00E0" w:rsidP="00A17FEB">
      <w:pPr>
        <w:spacing w:line="360" w:lineRule="auto"/>
        <w:ind w:left="2124"/>
        <w:jc w:val="both"/>
        <w:rPr>
          <w:rStyle w:val="A4"/>
          <w:rFonts w:ascii="Helvetica" w:hAnsi="Helvetica" w:cs="Helvetica"/>
          <w:sz w:val="24"/>
          <w:szCs w:val="24"/>
        </w:rPr>
      </w:pPr>
      <w:r w:rsidRPr="006F00E0">
        <w:rPr>
          <w:rStyle w:val="A4"/>
          <w:rFonts w:ascii="Helvetica" w:hAnsi="Helvetica" w:cs="Helvetica"/>
          <w:sz w:val="24"/>
          <w:szCs w:val="24"/>
        </w:rPr>
        <w:lastRenderedPageBreak/>
        <w:t>Tržby krátkodobých pronájmů bez cateringu</w:t>
      </w:r>
      <w:r w:rsidR="00C02FE5">
        <w:rPr>
          <w:rStyle w:val="A4"/>
          <w:rFonts w:ascii="Helvetica" w:hAnsi="Helvetica" w:cs="Helvetica"/>
          <w:sz w:val="24"/>
          <w:szCs w:val="24"/>
        </w:rPr>
        <w:t xml:space="preserve"> se i přes výpadek akcí z důvodu rekonstrukce v období srpna až října 2017 udržely vysoko na </w:t>
      </w:r>
      <w:r w:rsidRPr="006F00E0">
        <w:rPr>
          <w:rStyle w:val="A4"/>
          <w:rFonts w:ascii="Helvetica" w:hAnsi="Helvetica" w:cs="Helvetica"/>
          <w:sz w:val="24"/>
          <w:szCs w:val="24"/>
        </w:rPr>
        <w:t>159 mil</w:t>
      </w:r>
      <w:r>
        <w:rPr>
          <w:rStyle w:val="A4"/>
          <w:rFonts w:ascii="Helvetica" w:hAnsi="Helvetica" w:cs="Helvetica"/>
          <w:sz w:val="24"/>
          <w:szCs w:val="24"/>
        </w:rPr>
        <w:t>ion</w:t>
      </w:r>
      <w:r w:rsidR="00C02FE5">
        <w:rPr>
          <w:rStyle w:val="A4"/>
          <w:rFonts w:ascii="Helvetica" w:hAnsi="Helvetica" w:cs="Helvetica"/>
          <w:sz w:val="24"/>
          <w:szCs w:val="24"/>
        </w:rPr>
        <w:t>ech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Kč</w:t>
      </w:r>
      <w:r w:rsidR="00C02FE5">
        <w:rPr>
          <w:rStyle w:val="A4"/>
          <w:rFonts w:ascii="Helvetica" w:hAnsi="Helvetica" w:cs="Helvetica"/>
          <w:sz w:val="24"/>
          <w:szCs w:val="24"/>
        </w:rPr>
        <w:t>, pou</w:t>
      </w:r>
      <w:r w:rsidR="00CC2F13">
        <w:rPr>
          <w:rStyle w:val="A4"/>
          <w:rFonts w:ascii="Helvetica" w:hAnsi="Helvetica" w:cs="Helvetica"/>
          <w:sz w:val="24"/>
          <w:szCs w:val="24"/>
        </w:rPr>
        <w:t>hé</w:t>
      </w:r>
      <w:r w:rsidR="00C02FE5">
        <w:rPr>
          <w:rStyle w:val="A4"/>
          <w:rFonts w:ascii="Helvetica" w:hAnsi="Helvetica" w:cs="Helvetica"/>
          <w:sz w:val="24"/>
          <w:szCs w:val="24"/>
        </w:rPr>
        <w:t xml:space="preserve"> </w:t>
      </w:r>
      <w:r w:rsidRPr="006F00E0">
        <w:rPr>
          <w:rStyle w:val="A4"/>
          <w:rFonts w:ascii="Helvetica" w:hAnsi="Helvetica" w:cs="Helvetica"/>
          <w:sz w:val="24"/>
          <w:szCs w:val="24"/>
        </w:rPr>
        <w:t>2 %</w:t>
      </w:r>
      <w:r w:rsidR="00C02FE5">
        <w:rPr>
          <w:rStyle w:val="A4"/>
          <w:rFonts w:ascii="Helvetica" w:hAnsi="Helvetica" w:cs="Helvetica"/>
          <w:sz w:val="24"/>
          <w:szCs w:val="24"/>
        </w:rPr>
        <w:t xml:space="preserve"> pod tržbami roku 2016</w:t>
      </w:r>
      <w:r w:rsidRPr="006F00E0">
        <w:rPr>
          <w:rStyle w:val="A4"/>
          <w:rFonts w:ascii="Helvetica" w:hAnsi="Helvetica" w:cs="Helvetica"/>
          <w:sz w:val="24"/>
          <w:szCs w:val="24"/>
        </w:rPr>
        <w:t>. Tržby dlouhodobých pronájmů vyk</w:t>
      </w:r>
      <w:r w:rsidR="00C02FE5">
        <w:rPr>
          <w:rStyle w:val="A4"/>
          <w:rFonts w:ascii="Helvetica" w:hAnsi="Helvetica" w:cs="Helvetica"/>
          <w:sz w:val="24"/>
          <w:szCs w:val="24"/>
        </w:rPr>
        <w:t>ázaly</w:t>
      </w:r>
      <w:r w:rsidRPr="006F00E0">
        <w:rPr>
          <w:rStyle w:val="A4"/>
          <w:rFonts w:ascii="Helvetica" w:hAnsi="Helvetica" w:cs="Helvetica"/>
          <w:sz w:val="24"/>
          <w:szCs w:val="24"/>
        </w:rPr>
        <w:t xml:space="preserve"> meziroční růst ve výši </w:t>
      </w:r>
      <w:r w:rsidR="00E95001">
        <w:rPr>
          <w:rStyle w:val="A4"/>
          <w:rFonts w:ascii="Helvetica" w:hAnsi="Helvetica" w:cs="Helvetica"/>
          <w:sz w:val="24"/>
          <w:szCs w:val="24"/>
        </w:rPr>
        <w:br/>
      </w:r>
      <w:bookmarkStart w:id="0" w:name="_GoBack"/>
      <w:bookmarkEnd w:id="0"/>
      <w:r w:rsidRPr="006F00E0">
        <w:rPr>
          <w:rStyle w:val="A4"/>
          <w:rFonts w:ascii="Helvetica" w:hAnsi="Helvetica" w:cs="Helvetica"/>
          <w:sz w:val="24"/>
          <w:szCs w:val="24"/>
        </w:rPr>
        <w:t xml:space="preserve">2,5 % a lze tak výsledek ve výši 156,3 milionů Kč hodnotit jako </w:t>
      </w:r>
      <w:r w:rsidR="00C02FE5">
        <w:rPr>
          <w:rStyle w:val="A4"/>
          <w:rFonts w:ascii="Helvetica" w:hAnsi="Helvetica" w:cs="Helvetica"/>
          <w:sz w:val="24"/>
          <w:szCs w:val="24"/>
        </w:rPr>
        <w:t>nejlepší za posledních 10 let</w:t>
      </w:r>
      <w:r w:rsidRPr="006F00E0">
        <w:rPr>
          <w:rStyle w:val="A4"/>
          <w:rFonts w:ascii="Helvetica" w:hAnsi="Helvetica" w:cs="Helvetica"/>
          <w:sz w:val="24"/>
          <w:szCs w:val="24"/>
        </w:rPr>
        <w:t>.</w:t>
      </w:r>
      <w:r w:rsidR="00C02FE5">
        <w:rPr>
          <w:rStyle w:val="A4"/>
          <w:rFonts w:ascii="Helvetica" w:hAnsi="Helvetica" w:cs="Helvetica"/>
          <w:sz w:val="24"/>
          <w:szCs w:val="24"/>
        </w:rPr>
        <w:t xml:space="preserve"> </w:t>
      </w:r>
    </w:p>
    <w:p w14:paraId="610A1E24" w14:textId="77777777" w:rsidR="006F00E0" w:rsidRPr="006F00E0" w:rsidRDefault="006F00E0" w:rsidP="00A17FEB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5C333C85" w14:textId="335F8A58" w:rsidR="006F00E0" w:rsidRDefault="006F00E0" w:rsidP="00A17FEB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 w:rsidRPr="006F00E0">
        <w:rPr>
          <w:rFonts w:ascii="Helvetica" w:hAnsi="Helvetica" w:cs="Helvetica"/>
          <w:sz w:val="24"/>
          <w:szCs w:val="24"/>
        </w:rPr>
        <w:t xml:space="preserve">V roce 2017 byla dokončena první etapa rekonstrukce interiéru </w:t>
      </w:r>
      <w:r>
        <w:rPr>
          <w:rFonts w:ascii="Helvetica" w:hAnsi="Helvetica" w:cs="Helvetica"/>
          <w:sz w:val="24"/>
          <w:szCs w:val="24"/>
        </w:rPr>
        <w:br/>
      </w:r>
      <w:r w:rsidRPr="006F00E0">
        <w:rPr>
          <w:rFonts w:ascii="Helvetica" w:hAnsi="Helvetica" w:cs="Helvetica"/>
          <w:sz w:val="24"/>
          <w:szCs w:val="24"/>
        </w:rPr>
        <w:t xml:space="preserve">i exteriéru Kongresového centra Praha. Velká změna se týkala </w:t>
      </w:r>
      <w:r w:rsidR="00E95EBD">
        <w:rPr>
          <w:rFonts w:ascii="Helvetica" w:hAnsi="Helvetica" w:cs="Helvetica"/>
          <w:sz w:val="24"/>
          <w:szCs w:val="24"/>
        </w:rPr>
        <w:t>modernizace</w:t>
      </w:r>
      <w:r w:rsidRPr="006F00E0">
        <w:rPr>
          <w:rFonts w:ascii="Helvetica" w:hAnsi="Helvetica" w:cs="Helvetica"/>
          <w:sz w:val="24"/>
          <w:szCs w:val="24"/>
        </w:rPr>
        <w:t xml:space="preserve"> </w:t>
      </w:r>
      <w:r w:rsidR="00A85653">
        <w:rPr>
          <w:rFonts w:ascii="Helvetica" w:hAnsi="Helvetica" w:cs="Helvetica"/>
          <w:sz w:val="24"/>
          <w:szCs w:val="24"/>
        </w:rPr>
        <w:t>prostor</w:t>
      </w:r>
      <w:r w:rsidRPr="006F00E0">
        <w:rPr>
          <w:rFonts w:ascii="Helvetica" w:hAnsi="Helvetica" w:cs="Helvetica"/>
          <w:sz w:val="24"/>
          <w:szCs w:val="24"/>
        </w:rPr>
        <w:t xml:space="preserve">, kompletního vylepšení technického zázemí, </w:t>
      </w:r>
      <w:r w:rsidR="008E297E">
        <w:rPr>
          <w:rFonts w:ascii="Helvetica" w:hAnsi="Helvetica" w:cs="Helvetica"/>
          <w:sz w:val="24"/>
          <w:szCs w:val="24"/>
        </w:rPr>
        <w:t>z</w:t>
      </w:r>
      <w:r w:rsidR="00D10810">
        <w:rPr>
          <w:rFonts w:ascii="Helvetica" w:hAnsi="Helvetica" w:cs="Helvetica"/>
          <w:sz w:val="24"/>
          <w:szCs w:val="24"/>
        </w:rPr>
        <w:t xml:space="preserve">lepšení </w:t>
      </w:r>
      <w:r w:rsidR="00183607">
        <w:rPr>
          <w:rFonts w:ascii="Helvetica" w:hAnsi="Helvetica" w:cs="Helvetica"/>
          <w:sz w:val="24"/>
          <w:szCs w:val="24"/>
        </w:rPr>
        <w:t xml:space="preserve">energetického </w:t>
      </w:r>
      <w:r w:rsidR="00D10810">
        <w:rPr>
          <w:rFonts w:ascii="Helvetica" w:hAnsi="Helvetica" w:cs="Helvetica"/>
          <w:sz w:val="24"/>
          <w:szCs w:val="24"/>
        </w:rPr>
        <w:t xml:space="preserve">hospodářství, </w:t>
      </w:r>
      <w:r w:rsidR="004A217D">
        <w:rPr>
          <w:rFonts w:ascii="Helvetica" w:hAnsi="Helvetica" w:cs="Helvetica"/>
          <w:sz w:val="24"/>
          <w:szCs w:val="24"/>
        </w:rPr>
        <w:t>nové</w:t>
      </w:r>
      <w:r w:rsidRPr="006F00E0">
        <w:rPr>
          <w:rFonts w:ascii="Helvetica" w:hAnsi="Helvetica" w:cs="Helvetica"/>
          <w:sz w:val="24"/>
          <w:szCs w:val="24"/>
        </w:rPr>
        <w:t xml:space="preserve"> Wi-Fi infrastruktury </w:t>
      </w:r>
      <w:r w:rsidR="00A17FEB">
        <w:rPr>
          <w:rFonts w:ascii="Helvetica" w:hAnsi="Helvetica" w:cs="Helvetica"/>
          <w:sz w:val="24"/>
          <w:szCs w:val="24"/>
        </w:rPr>
        <w:br/>
      </w:r>
      <w:r w:rsidRPr="006F00E0">
        <w:rPr>
          <w:rFonts w:ascii="Helvetica" w:hAnsi="Helvetica" w:cs="Helvetica"/>
          <w:sz w:val="24"/>
          <w:szCs w:val="24"/>
        </w:rPr>
        <w:t xml:space="preserve">a </w:t>
      </w:r>
      <w:r w:rsidR="00D10810">
        <w:rPr>
          <w:rFonts w:ascii="Helvetica" w:hAnsi="Helvetica" w:cs="Helvetica"/>
          <w:sz w:val="24"/>
          <w:szCs w:val="24"/>
        </w:rPr>
        <w:t xml:space="preserve">inovací v </w:t>
      </w:r>
      <w:r w:rsidRPr="006F00E0">
        <w:rPr>
          <w:rFonts w:ascii="Helvetica" w:hAnsi="Helvetica" w:cs="Helvetica"/>
          <w:sz w:val="24"/>
          <w:szCs w:val="24"/>
        </w:rPr>
        <w:t>AV tech</w:t>
      </w:r>
      <w:r w:rsidR="00D10810">
        <w:rPr>
          <w:rFonts w:ascii="Helvetica" w:hAnsi="Helvetica" w:cs="Helvetica"/>
          <w:sz w:val="24"/>
          <w:szCs w:val="24"/>
        </w:rPr>
        <w:t>nologií</w:t>
      </w:r>
      <w:r w:rsidRPr="006F00E0">
        <w:rPr>
          <w:rFonts w:ascii="Helvetica" w:hAnsi="Helvetica" w:cs="Helvetica"/>
          <w:sz w:val="24"/>
          <w:szCs w:val="24"/>
        </w:rPr>
        <w:t>.</w:t>
      </w:r>
      <w:r w:rsidR="00D10810">
        <w:rPr>
          <w:rFonts w:ascii="Helvetica" w:hAnsi="Helvetica" w:cs="Helvetica"/>
          <w:sz w:val="24"/>
          <w:szCs w:val="24"/>
        </w:rPr>
        <w:t xml:space="preserve"> </w:t>
      </w:r>
      <w:r w:rsidR="00B127CE">
        <w:rPr>
          <w:rFonts w:ascii="Helvetica" w:hAnsi="Helvetica" w:cs="Helvetica"/>
          <w:sz w:val="24"/>
          <w:szCs w:val="24"/>
        </w:rPr>
        <w:t xml:space="preserve">Ke konci roku pak společnost uvedla na trh </w:t>
      </w:r>
      <w:r w:rsidR="00A85653">
        <w:rPr>
          <w:rFonts w:ascii="Helvetica" w:hAnsi="Helvetica" w:cs="Helvetica"/>
          <w:sz w:val="24"/>
          <w:szCs w:val="24"/>
        </w:rPr>
        <w:t xml:space="preserve">nový </w:t>
      </w:r>
      <w:r w:rsidR="00B127CE">
        <w:rPr>
          <w:rFonts w:ascii="Helvetica" w:hAnsi="Helvetica" w:cs="Helvetica"/>
          <w:sz w:val="24"/>
          <w:szCs w:val="24"/>
        </w:rPr>
        <w:t xml:space="preserve">svěží a moderní </w:t>
      </w:r>
      <w:r w:rsidR="00B127CE">
        <w:rPr>
          <w:rFonts w:ascii="Helvetica" w:hAnsi="Helvetica" w:cs="Helvetica"/>
          <w:noProof/>
          <w:sz w:val="24"/>
          <w:szCs w:val="24"/>
        </w:rPr>
        <w:t>brand</w:t>
      </w:r>
      <w:r w:rsidR="00A85653">
        <w:rPr>
          <w:rFonts w:ascii="Helvetica" w:hAnsi="Helvetica" w:cs="Helvetica"/>
          <w:noProof/>
          <w:sz w:val="24"/>
          <w:szCs w:val="24"/>
        </w:rPr>
        <w:t>ing</w:t>
      </w:r>
      <w:r w:rsidR="00B127CE">
        <w:rPr>
          <w:rFonts w:ascii="Helvetica" w:hAnsi="Helvetica" w:cs="Helvetica"/>
          <w:sz w:val="24"/>
          <w:szCs w:val="24"/>
        </w:rPr>
        <w:t>.</w:t>
      </w:r>
    </w:p>
    <w:p w14:paraId="34A5944E" w14:textId="77777777" w:rsidR="006F00E0" w:rsidRPr="006F00E0" w:rsidRDefault="006F00E0" w:rsidP="00A17FEB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4F3753F2" w14:textId="734B1EC4" w:rsidR="006F00E0" w:rsidRDefault="00B6662A" w:rsidP="00A17FEB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 w:rsidRPr="00B6662A">
        <w:rPr>
          <w:rFonts w:ascii="Helvetica" w:hAnsi="Helvetica" w:cs="Helvetica"/>
          <w:sz w:val="24"/>
          <w:szCs w:val="24"/>
        </w:rPr>
        <w:t>Mezi</w:t>
      </w:r>
      <w:r>
        <w:rPr>
          <w:rFonts w:ascii="Helvetica" w:hAnsi="Helvetica" w:cs="Helvetica"/>
          <w:sz w:val="24"/>
          <w:szCs w:val="24"/>
        </w:rPr>
        <w:t xml:space="preserve"> významné </w:t>
      </w:r>
      <w:r w:rsidR="00E47F31">
        <w:rPr>
          <w:rFonts w:ascii="Helvetica" w:hAnsi="Helvetica" w:cs="Helvetica"/>
          <w:sz w:val="24"/>
          <w:szCs w:val="24"/>
        </w:rPr>
        <w:t>události</w:t>
      </w:r>
      <w:r w:rsidR="00834883">
        <w:rPr>
          <w:rFonts w:ascii="Helvetica" w:hAnsi="Helvetica" w:cs="Helvetica"/>
          <w:sz w:val="24"/>
          <w:szCs w:val="24"/>
        </w:rPr>
        <w:t>, které se zde v loňském roce</w:t>
      </w:r>
      <w:r w:rsidR="004F5F24">
        <w:rPr>
          <w:rFonts w:ascii="Helvetica" w:hAnsi="Helvetica" w:cs="Helvetica"/>
          <w:sz w:val="24"/>
          <w:szCs w:val="24"/>
        </w:rPr>
        <w:t xml:space="preserve"> konaly,</w:t>
      </w:r>
      <w:r w:rsidR="00834883">
        <w:rPr>
          <w:rFonts w:ascii="Helvetica" w:hAnsi="Helvetica" w:cs="Helvetica"/>
          <w:sz w:val="24"/>
          <w:szCs w:val="24"/>
        </w:rPr>
        <w:t xml:space="preserve"> patří </w:t>
      </w:r>
      <w:r w:rsidR="00E47F31">
        <w:rPr>
          <w:rFonts w:ascii="Helvetica" w:hAnsi="Helvetica" w:cs="Helvetica"/>
          <w:sz w:val="24"/>
          <w:szCs w:val="24"/>
        </w:rPr>
        <w:t xml:space="preserve">Světová </w:t>
      </w:r>
      <w:r w:rsidR="00005F2D">
        <w:rPr>
          <w:rFonts w:ascii="Helvetica" w:hAnsi="Helvetica" w:cs="Helvetica"/>
          <w:sz w:val="24"/>
          <w:szCs w:val="24"/>
        </w:rPr>
        <w:t>konference praktických a rodinných lékařů (WONCA)</w:t>
      </w:r>
      <w:r w:rsidR="004F5F24">
        <w:rPr>
          <w:rFonts w:ascii="Helvetica" w:hAnsi="Helvetica" w:cs="Helvetica"/>
          <w:sz w:val="24"/>
          <w:szCs w:val="24"/>
        </w:rPr>
        <w:t xml:space="preserve"> </w:t>
      </w:r>
      <w:r w:rsidR="00A17FEB">
        <w:rPr>
          <w:rFonts w:ascii="Helvetica" w:hAnsi="Helvetica" w:cs="Helvetica"/>
          <w:sz w:val="24"/>
          <w:szCs w:val="24"/>
        </w:rPr>
        <w:br/>
      </w:r>
      <w:r w:rsidR="004F5F24">
        <w:rPr>
          <w:rFonts w:ascii="Helvetica" w:hAnsi="Helvetica" w:cs="Helvetica"/>
          <w:sz w:val="24"/>
          <w:szCs w:val="24"/>
        </w:rPr>
        <w:t>se 4 000 účastníky</w:t>
      </w:r>
      <w:r w:rsidR="00A1285A">
        <w:rPr>
          <w:rFonts w:ascii="Helvetica" w:hAnsi="Helvetica" w:cs="Helvetica"/>
          <w:sz w:val="24"/>
          <w:szCs w:val="24"/>
        </w:rPr>
        <w:t>,</w:t>
      </w:r>
      <w:r w:rsidR="00005F2D">
        <w:rPr>
          <w:rFonts w:ascii="Helvetica" w:hAnsi="Helvetica" w:cs="Helvetica"/>
          <w:sz w:val="24"/>
          <w:szCs w:val="24"/>
        </w:rPr>
        <w:t xml:space="preserve"> Výroční zasedání Evropské společnosti pro dětskou gastroenterologii, </w:t>
      </w:r>
      <w:r w:rsidR="00005F2D">
        <w:rPr>
          <w:rFonts w:ascii="Helvetica" w:hAnsi="Helvetica" w:cs="Helvetica"/>
          <w:noProof/>
          <w:sz w:val="24"/>
          <w:szCs w:val="24"/>
        </w:rPr>
        <w:t>hepatologii</w:t>
      </w:r>
      <w:r w:rsidR="00005F2D">
        <w:rPr>
          <w:rFonts w:ascii="Helvetica" w:hAnsi="Helvetica" w:cs="Helvetica"/>
          <w:sz w:val="24"/>
          <w:szCs w:val="24"/>
        </w:rPr>
        <w:t xml:space="preserve"> a výživu (ESPGHAN)</w:t>
      </w:r>
      <w:r w:rsidR="00834883">
        <w:rPr>
          <w:rFonts w:ascii="Helvetica" w:hAnsi="Helvetica" w:cs="Helvetica"/>
          <w:sz w:val="24"/>
          <w:szCs w:val="24"/>
        </w:rPr>
        <w:t xml:space="preserve"> </w:t>
      </w:r>
      <w:r w:rsidR="004F5F24">
        <w:rPr>
          <w:rFonts w:ascii="Helvetica" w:hAnsi="Helvetica" w:cs="Helvetica"/>
          <w:sz w:val="24"/>
          <w:szCs w:val="24"/>
        </w:rPr>
        <w:t>s 5 000 účastníky či</w:t>
      </w:r>
      <w:r w:rsidR="00834883">
        <w:rPr>
          <w:rFonts w:ascii="Helvetica" w:hAnsi="Helvetica" w:cs="Helvetica"/>
          <w:sz w:val="24"/>
          <w:szCs w:val="24"/>
        </w:rPr>
        <w:t xml:space="preserve"> </w:t>
      </w:r>
      <w:r w:rsidR="004F5F24">
        <w:rPr>
          <w:rFonts w:ascii="Helvetica" w:hAnsi="Helvetica" w:cs="Helvetica"/>
          <w:sz w:val="24"/>
          <w:szCs w:val="24"/>
        </w:rPr>
        <w:t xml:space="preserve">Mezinárodní prestižní symposium </w:t>
      </w:r>
      <w:r w:rsidR="00A1285A">
        <w:rPr>
          <w:rFonts w:ascii="Helvetica" w:hAnsi="Helvetica" w:cs="Helvetica"/>
          <w:sz w:val="24"/>
          <w:szCs w:val="24"/>
        </w:rPr>
        <w:t>z oblasti separačních věd (HPLC) s 1 300 účastníky</w:t>
      </w:r>
      <w:r w:rsidR="00005F2D">
        <w:rPr>
          <w:rFonts w:ascii="Helvetica" w:hAnsi="Helvetica" w:cs="Helvetica"/>
          <w:sz w:val="24"/>
          <w:szCs w:val="24"/>
        </w:rPr>
        <w:t>.</w:t>
      </w:r>
      <w:r w:rsidR="00B45A6B">
        <w:rPr>
          <w:rFonts w:ascii="Helvetica" w:hAnsi="Helvetica" w:cs="Helvetica"/>
          <w:sz w:val="24"/>
          <w:szCs w:val="24"/>
        </w:rPr>
        <w:t xml:space="preserve"> </w:t>
      </w:r>
      <w:r w:rsidR="00834883">
        <w:rPr>
          <w:rFonts w:ascii="Helvetica" w:hAnsi="Helvetica" w:cs="Helvetica"/>
          <w:sz w:val="24"/>
          <w:szCs w:val="24"/>
        </w:rPr>
        <w:t>B</w:t>
      </w:r>
      <w:r w:rsidR="00B45A6B">
        <w:rPr>
          <w:rFonts w:ascii="Helvetica" w:hAnsi="Helvetica" w:cs="Helvetica"/>
          <w:sz w:val="24"/>
          <w:szCs w:val="24"/>
        </w:rPr>
        <w:t xml:space="preserve">ezesporu </w:t>
      </w:r>
      <w:r w:rsidR="00A85653">
        <w:rPr>
          <w:rFonts w:ascii="Helvetica" w:hAnsi="Helvetica" w:cs="Helvetica"/>
          <w:sz w:val="24"/>
          <w:szCs w:val="24"/>
        </w:rPr>
        <w:t>n</w:t>
      </w:r>
      <w:r w:rsidR="006F00E0" w:rsidRPr="006F00E0">
        <w:rPr>
          <w:rFonts w:ascii="Helvetica" w:hAnsi="Helvetica" w:cs="Helvetica"/>
          <w:sz w:val="24"/>
          <w:szCs w:val="24"/>
        </w:rPr>
        <w:t>ejvýznamnější akcí minulého roku</w:t>
      </w:r>
      <w:r w:rsidR="00834883">
        <w:rPr>
          <w:rFonts w:ascii="Helvetica" w:hAnsi="Helvetica" w:cs="Helvetica"/>
          <w:sz w:val="24"/>
          <w:szCs w:val="24"/>
        </w:rPr>
        <w:t xml:space="preserve"> pak</w:t>
      </w:r>
      <w:r w:rsidR="006F00E0" w:rsidRPr="006F00E0">
        <w:rPr>
          <w:rFonts w:ascii="Helvetica" w:hAnsi="Helvetica" w:cs="Helvetica"/>
          <w:sz w:val="24"/>
          <w:szCs w:val="24"/>
        </w:rPr>
        <w:t xml:space="preserve"> </w:t>
      </w:r>
      <w:r w:rsidR="00005F2D">
        <w:rPr>
          <w:rFonts w:ascii="Helvetica" w:hAnsi="Helvetica" w:cs="Helvetica"/>
          <w:sz w:val="24"/>
          <w:szCs w:val="24"/>
        </w:rPr>
        <w:t xml:space="preserve">byl </w:t>
      </w:r>
      <w:r w:rsidR="006F00E0" w:rsidRPr="006F00E0">
        <w:rPr>
          <w:rFonts w:ascii="Helvetica" w:hAnsi="Helvetica" w:cs="Helvetica"/>
          <w:sz w:val="24"/>
          <w:szCs w:val="24"/>
        </w:rPr>
        <w:t>kongres kongresů</w:t>
      </w:r>
      <w:r w:rsidR="00B45A6B">
        <w:rPr>
          <w:rFonts w:ascii="Helvetica" w:hAnsi="Helvetica" w:cs="Helvetica"/>
          <w:sz w:val="24"/>
          <w:szCs w:val="24"/>
        </w:rPr>
        <w:t xml:space="preserve"> mezinárodní kongresové asociace </w:t>
      </w:r>
      <w:r w:rsidR="006F00E0" w:rsidRPr="006F00E0">
        <w:rPr>
          <w:rFonts w:ascii="Helvetica" w:hAnsi="Helvetica" w:cs="Helvetica"/>
          <w:sz w:val="24"/>
          <w:szCs w:val="24"/>
        </w:rPr>
        <w:t>ICCA</w:t>
      </w:r>
      <w:r w:rsidR="00B45A6B">
        <w:rPr>
          <w:rFonts w:ascii="Helvetica" w:hAnsi="Helvetica" w:cs="Helvetica"/>
          <w:sz w:val="24"/>
          <w:szCs w:val="24"/>
        </w:rPr>
        <w:t xml:space="preserve"> </w:t>
      </w:r>
      <w:r w:rsidR="00E5150C" w:rsidRPr="006F00E0">
        <w:rPr>
          <w:rFonts w:ascii="Helvetica" w:hAnsi="Helvetica" w:cs="Helvetica"/>
          <w:sz w:val="24"/>
          <w:szCs w:val="24"/>
        </w:rPr>
        <w:t xml:space="preserve">(International Congress and </w:t>
      </w:r>
      <w:r w:rsidR="00E5150C" w:rsidRPr="006F00E0">
        <w:rPr>
          <w:rFonts w:ascii="Helvetica" w:hAnsi="Helvetica" w:cs="Helvetica"/>
          <w:noProof/>
          <w:sz w:val="24"/>
          <w:szCs w:val="24"/>
        </w:rPr>
        <w:t>Convention Association)</w:t>
      </w:r>
      <w:r w:rsidR="00A85653">
        <w:rPr>
          <w:rFonts w:ascii="Helvetica" w:hAnsi="Helvetica" w:cs="Helvetica"/>
          <w:sz w:val="24"/>
          <w:szCs w:val="24"/>
        </w:rPr>
        <w:t xml:space="preserve">, který do Prahy přilákal </w:t>
      </w:r>
      <w:r w:rsidR="006F00E0" w:rsidRPr="006F00E0">
        <w:rPr>
          <w:rFonts w:ascii="Helvetica" w:hAnsi="Helvetica" w:cs="Helvetica"/>
          <w:sz w:val="24"/>
          <w:szCs w:val="24"/>
        </w:rPr>
        <w:t xml:space="preserve">1 264 expertů z oboru kongresového průmyslu ze 79 zemí světa. Česká </w:t>
      </w:r>
      <w:r w:rsidR="006F00E0" w:rsidRPr="006F00E0">
        <w:rPr>
          <w:rFonts w:ascii="Helvetica" w:hAnsi="Helvetica" w:cs="Helvetica"/>
          <w:sz w:val="24"/>
          <w:szCs w:val="24"/>
        </w:rPr>
        <w:lastRenderedPageBreak/>
        <w:t>metropole s</w:t>
      </w:r>
      <w:r w:rsidR="00A85653">
        <w:rPr>
          <w:rFonts w:ascii="Helvetica" w:hAnsi="Helvetica" w:cs="Helvetica"/>
          <w:sz w:val="24"/>
          <w:szCs w:val="24"/>
        </w:rPr>
        <w:t>i</w:t>
      </w:r>
      <w:r w:rsidR="006F00E0" w:rsidRPr="006F00E0">
        <w:rPr>
          <w:rFonts w:ascii="Helvetica" w:hAnsi="Helvetica" w:cs="Helvetica"/>
          <w:sz w:val="24"/>
          <w:szCs w:val="24"/>
        </w:rPr>
        <w:t xml:space="preserve"> navíc</w:t>
      </w:r>
      <w:r w:rsidR="00A85653">
        <w:rPr>
          <w:rFonts w:ascii="Helvetica" w:hAnsi="Helvetica" w:cs="Helvetica"/>
          <w:sz w:val="24"/>
          <w:szCs w:val="24"/>
        </w:rPr>
        <w:t xml:space="preserve"> v roce 2017</w:t>
      </w:r>
      <w:r w:rsidR="006F00E0" w:rsidRPr="006F00E0">
        <w:rPr>
          <w:rFonts w:ascii="Helvetica" w:hAnsi="Helvetica" w:cs="Helvetica"/>
          <w:sz w:val="24"/>
          <w:szCs w:val="24"/>
        </w:rPr>
        <w:t xml:space="preserve"> </w:t>
      </w:r>
      <w:r w:rsidR="00A85653">
        <w:rPr>
          <w:rFonts w:ascii="Helvetica" w:hAnsi="Helvetica" w:cs="Helvetica"/>
          <w:sz w:val="24"/>
          <w:szCs w:val="24"/>
        </w:rPr>
        <w:t xml:space="preserve">polepšila </w:t>
      </w:r>
      <w:r w:rsidR="006F00E0" w:rsidRPr="006F00E0">
        <w:rPr>
          <w:rFonts w:ascii="Helvetica" w:hAnsi="Helvetica" w:cs="Helvetica"/>
          <w:sz w:val="24"/>
          <w:szCs w:val="24"/>
        </w:rPr>
        <w:t xml:space="preserve">ve světové konkurenci </w:t>
      </w:r>
      <w:r w:rsidR="00A85653">
        <w:rPr>
          <w:rFonts w:ascii="Helvetica" w:hAnsi="Helvetica" w:cs="Helvetica"/>
          <w:sz w:val="24"/>
          <w:szCs w:val="24"/>
        </w:rPr>
        <w:t xml:space="preserve">o tři pozice </w:t>
      </w:r>
      <w:r w:rsidR="006F00E0" w:rsidRPr="006F00E0">
        <w:rPr>
          <w:rFonts w:ascii="Helvetica" w:hAnsi="Helvetica" w:cs="Helvetica"/>
          <w:sz w:val="24"/>
          <w:szCs w:val="24"/>
        </w:rPr>
        <w:t>a obsadila 8. místo na žebříčku nejpopulárnějších kongresových destinací, který každoročně sestavuje Mezinárodní kongresová asociace ICCA.</w:t>
      </w:r>
      <w:r w:rsidR="00A85653">
        <w:rPr>
          <w:rFonts w:ascii="Helvetica" w:hAnsi="Helvetica" w:cs="Helvetica"/>
          <w:sz w:val="24"/>
          <w:szCs w:val="24"/>
        </w:rPr>
        <w:t xml:space="preserve"> Z</w:t>
      </w:r>
      <w:r w:rsidR="006F00E0" w:rsidRPr="006F00E0">
        <w:rPr>
          <w:rFonts w:ascii="Helvetica" w:hAnsi="Helvetica" w:cs="Helvetica"/>
          <w:sz w:val="24"/>
          <w:szCs w:val="24"/>
        </w:rPr>
        <w:t>ařadila se</w:t>
      </w:r>
      <w:r w:rsidR="006F00E0">
        <w:rPr>
          <w:rFonts w:ascii="Helvetica" w:hAnsi="Helvetica" w:cs="Helvetica"/>
          <w:sz w:val="24"/>
          <w:szCs w:val="24"/>
        </w:rPr>
        <w:t xml:space="preserve"> </w:t>
      </w:r>
      <w:r w:rsidR="00A85653">
        <w:rPr>
          <w:rFonts w:ascii="Helvetica" w:hAnsi="Helvetica" w:cs="Helvetica"/>
          <w:sz w:val="24"/>
          <w:szCs w:val="24"/>
        </w:rPr>
        <w:t xml:space="preserve">tak </w:t>
      </w:r>
      <w:r w:rsidR="006F00E0" w:rsidRPr="006F00E0">
        <w:rPr>
          <w:rFonts w:ascii="Helvetica" w:hAnsi="Helvetica" w:cs="Helvetica"/>
          <w:sz w:val="24"/>
          <w:szCs w:val="24"/>
        </w:rPr>
        <w:t>do TOP 10 kongresových destinací světa</w:t>
      </w:r>
      <w:r w:rsidR="00A85653">
        <w:rPr>
          <w:rFonts w:ascii="Helvetica" w:hAnsi="Helvetica" w:cs="Helvetica"/>
          <w:sz w:val="24"/>
          <w:szCs w:val="24"/>
        </w:rPr>
        <w:t xml:space="preserve"> mezi metropole jako je </w:t>
      </w:r>
      <w:r w:rsidR="006F00E0" w:rsidRPr="006F00E0">
        <w:rPr>
          <w:rFonts w:ascii="Helvetica" w:hAnsi="Helvetica" w:cs="Helvetica"/>
          <w:sz w:val="24"/>
          <w:szCs w:val="24"/>
        </w:rPr>
        <w:t xml:space="preserve">Barcelona, Paříž, Vídeň, Londýn </w:t>
      </w:r>
      <w:r w:rsidR="006E07F5">
        <w:rPr>
          <w:rFonts w:ascii="Helvetica" w:hAnsi="Helvetica" w:cs="Helvetica"/>
          <w:sz w:val="24"/>
          <w:szCs w:val="24"/>
        </w:rPr>
        <w:br/>
      </w:r>
      <w:r w:rsidR="006F00E0" w:rsidRPr="006F00E0">
        <w:rPr>
          <w:rFonts w:ascii="Helvetica" w:hAnsi="Helvetica" w:cs="Helvetica"/>
          <w:sz w:val="24"/>
          <w:szCs w:val="24"/>
        </w:rPr>
        <w:t>či Singapur.</w:t>
      </w:r>
    </w:p>
    <w:p w14:paraId="189C3C10" w14:textId="77777777" w:rsidR="006F00E0" w:rsidRPr="006F00E0" w:rsidRDefault="006F00E0" w:rsidP="006F00E0">
      <w:pPr>
        <w:spacing w:line="360" w:lineRule="auto"/>
        <w:ind w:left="2124"/>
        <w:rPr>
          <w:rFonts w:ascii="Helvetica" w:hAnsi="Helvetica" w:cs="Helvetica"/>
          <w:sz w:val="24"/>
          <w:szCs w:val="24"/>
        </w:rPr>
      </w:pPr>
    </w:p>
    <w:p w14:paraId="3CB900CA" w14:textId="77777777" w:rsidR="006F00E0" w:rsidRPr="007A37B7" w:rsidRDefault="006F00E0" w:rsidP="006F00E0"/>
    <w:p w14:paraId="20600A18" w14:textId="77777777" w:rsidR="00677A9A" w:rsidRDefault="00677A9A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1F7003DA" w14:textId="646B24A5" w:rsidR="00C96784" w:rsidRDefault="00C96784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7D69C1ED" w14:textId="5D41A831" w:rsidR="00966216" w:rsidRDefault="00966216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3ADE4CD2" w14:textId="7D35F924" w:rsidR="00966216" w:rsidRDefault="00966216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1AA3C6A7" w14:textId="1808AFCA" w:rsidR="00966216" w:rsidRDefault="00966216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204C97ED" w14:textId="356D13C6" w:rsidR="00966216" w:rsidRDefault="00966216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349C6102" w14:textId="6E42478A" w:rsidR="00966216" w:rsidRDefault="00966216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7FBF73B6" w14:textId="6EC7139C" w:rsidR="00966216" w:rsidRDefault="00966216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1398F424" w14:textId="77777777" w:rsidR="00966216" w:rsidRDefault="00966216" w:rsidP="000728EF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14:paraId="27508076" w14:textId="77777777" w:rsidR="00C022A2" w:rsidRDefault="00C022A2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565D0688" w14:textId="77777777" w:rsidR="00C022A2" w:rsidRPr="003032A5" w:rsidRDefault="00C022A2" w:rsidP="00C022A2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14:paraId="49D07D2D" w14:textId="6303BD21" w:rsidR="00677A9A" w:rsidRPr="00A17FEB" w:rsidRDefault="00C022A2" w:rsidP="003032A5">
      <w:pPr>
        <w:spacing w:line="360" w:lineRule="auto"/>
        <w:jc w:val="both"/>
        <w:rPr>
          <w:rFonts w:ascii="Arial" w:hAnsi="Arial" w:cs="Arial"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 Business Centre Vyšehrad a čtyřhvězdičkový hotel Holiday Inn Prague Congress Centre s kapacitou 254 pokojů. KCP získalo certifikát EKO Gold za čerpání energie z obnovitelných zdrojů</w:t>
      </w:r>
      <w:r w:rsidR="00A17FEB">
        <w:rPr>
          <w:rFonts w:ascii="HelveticaNeueLT Pro 35 Th" w:hAnsi="HelveticaNeueLT Pro 35 Th" w:cs="Times New Roman"/>
          <w:b/>
          <w:sz w:val="18"/>
          <w:szCs w:val="24"/>
        </w:rPr>
        <w:t xml:space="preserve"> </w:t>
      </w:r>
      <w:r w:rsidR="00A17FEB" w:rsidRPr="00A17FEB">
        <w:rPr>
          <w:rFonts w:ascii="HelveticaNeueLT Pro 35 Th" w:hAnsi="HelveticaNeueLT Pro 35 Th" w:cs="Times New Roman"/>
          <w:sz w:val="18"/>
          <w:szCs w:val="24"/>
        </w:rPr>
        <w:t xml:space="preserve">a ocenění Czech Business </w:t>
      </w:r>
      <w:proofErr w:type="spellStart"/>
      <w:r w:rsidR="00A17FEB" w:rsidRPr="00A17FEB">
        <w:rPr>
          <w:rFonts w:ascii="HelveticaNeueLT Pro 35 Th" w:hAnsi="HelveticaNeueLT Pro 35 Th" w:cs="Times New Roman"/>
          <w:sz w:val="18"/>
          <w:szCs w:val="24"/>
        </w:rPr>
        <w:t>Superbrands</w:t>
      </w:r>
      <w:proofErr w:type="spellEnd"/>
      <w:r w:rsidR="00A17FEB" w:rsidRPr="00A17FEB">
        <w:rPr>
          <w:rFonts w:ascii="HelveticaNeueLT Pro 35 Th" w:hAnsi="HelveticaNeueLT Pro 35 Th" w:cs="Times New Roman"/>
          <w:sz w:val="18"/>
          <w:szCs w:val="24"/>
        </w:rPr>
        <w:t xml:space="preserve"> 2018.</w:t>
      </w:r>
    </w:p>
    <w:sectPr w:rsidR="00677A9A" w:rsidRPr="00A17FEB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1358" w14:textId="77777777" w:rsidR="00070C26" w:rsidRDefault="00070C26" w:rsidP="00A81785">
      <w:r>
        <w:separator/>
      </w:r>
    </w:p>
  </w:endnote>
  <w:endnote w:type="continuationSeparator" w:id="0">
    <w:p w14:paraId="789B8B86" w14:textId="77777777" w:rsidR="00070C26" w:rsidRDefault="00070C26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DD75" w14:textId="77777777" w:rsidR="00A81785" w:rsidRDefault="00A81785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1C34B2E" wp14:editId="3C27E726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B6290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14:paraId="38612347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01932307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14:paraId="04B37AEB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14:paraId="747F45C3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Česká </w:t>
                          </w:r>
                          <w:r w:rsidR="00926C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epublika</w:t>
                          </w:r>
                        </w:p>
                        <w:p w14:paraId="51A43E9C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502CF80" w14:textId="77777777" w:rsidR="00A81785" w:rsidRDefault="00546C85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Petra Hnátková</w:t>
                          </w:r>
                        </w:p>
                        <w:p w14:paraId="77DF1965" w14:textId="7F49276B" w:rsidR="00CF10BE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PR Specialist</w:t>
                          </w:r>
                        </w:p>
                        <w:p w14:paraId="44DE24DD" w14:textId="77777777" w:rsidR="00A81785" w:rsidRDefault="00A81785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546C85" w:rsidRPr="00DE6186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hnatkova@praguecc.cz</w:t>
                            </w:r>
                          </w:hyperlink>
                          <w:r w:rsidR="00546C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38FECA" w14:textId="77777777" w:rsidR="00AC3993" w:rsidRPr="00CF10BE" w:rsidRDefault="00AC3993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34B2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14:paraId="61DB6290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14:paraId="38612347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01932307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14:paraId="04B37AEB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14:paraId="747F45C3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Česká </w:t>
                    </w:r>
                    <w:r w:rsidR="00926C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epublika</w:t>
                    </w:r>
                  </w:p>
                  <w:p w14:paraId="51A43E9C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502CF80" w14:textId="77777777" w:rsidR="00A81785" w:rsidRDefault="00546C85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Petra Hnátková</w:t>
                    </w:r>
                  </w:p>
                  <w:p w14:paraId="77DF1965" w14:textId="7F49276B" w:rsidR="00CF10BE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PR Specialist</w:t>
                    </w:r>
                  </w:p>
                  <w:p w14:paraId="44DE24DD" w14:textId="77777777" w:rsidR="00A81785" w:rsidRDefault="00A81785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546C85" w:rsidRPr="00DE6186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hnatkova@praguecc.cz</w:t>
                      </w:r>
                    </w:hyperlink>
                    <w:r w:rsidR="00546C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1938FECA" w14:textId="77777777" w:rsidR="00AC3993" w:rsidRPr="00CF10BE" w:rsidRDefault="00AC3993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4FB6" w14:textId="77777777" w:rsidR="00070C26" w:rsidRDefault="00070C26" w:rsidP="00A81785">
      <w:r>
        <w:separator/>
      </w:r>
    </w:p>
  </w:footnote>
  <w:footnote w:type="continuationSeparator" w:id="0">
    <w:p w14:paraId="0615F0AF" w14:textId="77777777" w:rsidR="00070C26" w:rsidRDefault="00070C26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262D" w14:textId="77777777" w:rsidR="00A81785" w:rsidRDefault="00A81785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56A6094" wp14:editId="3D07F9E3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0A576C" wp14:editId="05C8C1E6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05F2D"/>
    <w:rsid w:val="00040841"/>
    <w:rsid w:val="00043B26"/>
    <w:rsid w:val="0005765C"/>
    <w:rsid w:val="00066F5F"/>
    <w:rsid w:val="00067CA4"/>
    <w:rsid w:val="00070C26"/>
    <w:rsid w:val="000728EF"/>
    <w:rsid w:val="00084DA9"/>
    <w:rsid w:val="000A112E"/>
    <w:rsid w:val="000A43A0"/>
    <w:rsid w:val="000A5D93"/>
    <w:rsid w:val="000B1391"/>
    <w:rsid w:val="000B5B4B"/>
    <w:rsid w:val="000C0364"/>
    <w:rsid w:val="000F57F2"/>
    <w:rsid w:val="000F78B1"/>
    <w:rsid w:val="00117D10"/>
    <w:rsid w:val="00135CA3"/>
    <w:rsid w:val="00180A89"/>
    <w:rsid w:val="00183607"/>
    <w:rsid w:val="00185DE8"/>
    <w:rsid w:val="001872E4"/>
    <w:rsid w:val="001B1F68"/>
    <w:rsid w:val="001F4B6E"/>
    <w:rsid w:val="00212416"/>
    <w:rsid w:val="00215969"/>
    <w:rsid w:val="002326AF"/>
    <w:rsid w:val="00234DE2"/>
    <w:rsid w:val="002439CD"/>
    <w:rsid w:val="0026153F"/>
    <w:rsid w:val="00274A12"/>
    <w:rsid w:val="00287E7E"/>
    <w:rsid w:val="003032A5"/>
    <w:rsid w:val="00304ACB"/>
    <w:rsid w:val="003437AA"/>
    <w:rsid w:val="00352FF3"/>
    <w:rsid w:val="00384988"/>
    <w:rsid w:val="003A03E0"/>
    <w:rsid w:val="003E55F7"/>
    <w:rsid w:val="003F47CB"/>
    <w:rsid w:val="00400B8F"/>
    <w:rsid w:val="00413B3B"/>
    <w:rsid w:val="00422963"/>
    <w:rsid w:val="0042348C"/>
    <w:rsid w:val="00464673"/>
    <w:rsid w:val="00466A84"/>
    <w:rsid w:val="0048545B"/>
    <w:rsid w:val="00491C65"/>
    <w:rsid w:val="004A217D"/>
    <w:rsid w:val="004C5137"/>
    <w:rsid w:val="004D1578"/>
    <w:rsid w:val="004D43AF"/>
    <w:rsid w:val="004E49BA"/>
    <w:rsid w:val="004F5F24"/>
    <w:rsid w:val="00501D8E"/>
    <w:rsid w:val="00502ED9"/>
    <w:rsid w:val="005031B5"/>
    <w:rsid w:val="00505D80"/>
    <w:rsid w:val="0053014C"/>
    <w:rsid w:val="00532D71"/>
    <w:rsid w:val="00544E60"/>
    <w:rsid w:val="00546C85"/>
    <w:rsid w:val="00552305"/>
    <w:rsid w:val="00573B2D"/>
    <w:rsid w:val="005B1638"/>
    <w:rsid w:val="005E1DE1"/>
    <w:rsid w:val="005F6A37"/>
    <w:rsid w:val="0061152A"/>
    <w:rsid w:val="00615852"/>
    <w:rsid w:val="00620112"/>
    <w:rsid w:val="00631D3B"/>
    <w:rsid w:val="0064175C"/>
    <w:rsid w:val="00677A9A"/>
    <w:rsid w:val="00697820"/>
    <w:rsid w:val="006C2C15"/>
    <w:rsid w:val="006E07F5"/>
    <w:rsid w:val="006F00E0"/>
    <w:rsid w:val="006F3A3F"/>
    <w:rsid w:val="00703F3A"/>
    <w:rsid w:val="00704161"/>
    <w:rsid w:val="00706307"/>
    <w:rsid w:val="0072066D"/>
    <w:rsid w:val="00731347"/>
    <w:rsid w:val="00731B9A"/>
    <w:rsid w:val="00733182"/>
    <w:rsid w:val="00762876"/>
    <w:rsid w:val="00770ADA"/>
    <w:rsid w:val="007A650A"/>
    <w:rsid w:val="007D7E40"/>
    <w:rsid w:val="007E27E4"/>
    <w:rsid w:val="008026AA"/>
    <w:rsid w:val="0081235F"/>
    <w:rsid w:val="00822383"/>
    <w:rsid w:val="008340E5"/>
    <w:rsid w:val="00834883"/>
    <w:rsid w:val="0088185F"/>
    <w:rsid w:val="00890A4E"/>
    <w:rsid w:val="008E297E"/>
    <w:rsid w:val="008E7668"/>
    <w:rsid w:val="008F0A5C"/>
    <w:rsid w:val="008F7C82"/>
    <w:rsid w:val="009216FD"/>
    <w:rsid w:val="00924BE9"/>
    <w:rsid w:val="00926C68"/>
    <w:rsid w:val="00945834"/>
    <w:rsid w:val="00966216"/>
    <w:rsid w:val="00986BFA"/>
    <w:rsid w:val="009B26D3"/>
    <w:rsid w:val="009C6F05"/>
    <w:rsid w:val="009D3E57"/>
    <w:rsid w:val="009E163A"/>
    <w:rsid w:val="009E5FC7"/>
    <w:rsid w:val="00A01827"/>
    <w:rsid w:val="00A1285A"/>
    <w:rsid w:val="00A17FEB"/>
    <w:rsid w:val="00A27C33"/>
    <w:rsid w:val="00A81785"/>
    <w:rsid w:val="00A822B8"/>
    <w:rsid w:val="00A85653"/>
    <w:rsid w:val="00AB6B7D"/>
    <w:rsid w:val="00AC3993"/>
    <w:rsid w:val="00AD76D5"/>
    <w:rsid w:val="00AE62DB"/>
    <w:rsid w:val="00B03DF4"/>
    <w:rsid w:val="00B127CE"/>
    <w:rsid w:val="00B30755"/>
    <w:rsid w:val="00B41A38"/>
    <w:rsid w:val="00B45A6B"/>
    <w:rsid w:val="00B6662A"/>
    <w:rsid w:val="00BC1CC3"/>
    <w:rsid w:val="00BD3E5C"/>
    <w:rsid w:val="00BE4EDA"/>
    <w:rsid w:val="00BE5CA4"/>
    <w:rsid w:val="00C022A2"/>
    <w:rsid w:val="00C02FE5"/>
    <w:rsid w:val="00C12F58"/>
    <w:rsid w:val="00C602AD"/>
    <w:rsid w:val="00C742D6"/>
    <w:rsid w:val="00C96784"/>
    <w:rsid w:val="00CB29E0"/>
    <w:rsid w:val="00CC2F13"/>
    <w:rsid w:val="00CC748F"/>
    <w:rsid w:val="00CD5B33"/>
    <w:rsid w:val="00CE4E65"/>
    <w:rsid w:val="00CF10BE"/>
    <w:rsid w:val="00D10669"/>
    <w:rsid w:val="00D10810"/>
    <w:rsid w:val="00D40F12"/>
    <w:rsid w:val="00D5025A"/>
    <w:rsid w:val="00D70339"/>
    <w:rsid w:val="00D8505A"/>
    <w:rsid w:val="00D87872"/>
    <w:rsid w:val="00DB630F"/>
    <w:rsid w:val="00E47F31"/>
    <w:rsid w:val="00E5150C"/>
    <w:rsid w:val="00E8582A"/>
    <w:rsid w:val="00E95001"/>
    <w:rsid w:val="00E95EBD"/>
    <w:rsid w:val="00EA444A"/>
    <w:rsid w:val="00EA4EDB"/>
    <w:rsid w:val="00EB4690"/>
    <w:rsid w:val="00EC3ABB"/>
    <w:rsid w:val="00ED574D"/>
    <w:rsid w:val="00ED5EC9"/>
    <w:rsid w:val="00ED7B7E"/>
    <w:rsid w:val="00EF0A71"/>
    <w:rsid w:val="00FB346E"/>
    <w:rsid w:val="00FB45A7"/>
    <w:rsid w:val="00FD5309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5525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6C85"/>
    <w:rPr>
      <w:color w:val="808080"/>
      <w:shd w:val="clear" w:color="auto" w:fill="E6E6E6"/>
    </w:rPr>
  </w:style>
  <w:style w:type="character" w:customStyle="1" w:styleId="A4">
    <w:name w:val="A4"/>
    <w:uiPriority w:val="99"/>
    <w:rsid w:val="006F00E0"/>
    <w:rPr>
      <w:rFonts w:cs="HelveticaNeueLT Pro 45 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natkova@praguecc.cz" TargetMode="External"/><Relationship Id="rId1" Type="http://schemas.openxmlformats.org/officeDocument/2006/relationships/hyperlink" Target="mailto:hnatk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2A41-30C4-49CD-AB2E-6DCBC9C5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Žlebková</dc:creator>
  <cp:keywords/>
  <dc:description/>
  <cp:lastModifiedBy>Petra Hnátková</cp:lastModifiedBy>
  <cp:revision>12</cp:revision>
  <cp:lastPrinted>2018-03-29T14:47:00Z</cp:lastPrinted>
  <dcterms:created xsi:type="dcterms:W3CDTF">2018-06-21T08:36:00Z</dcterms:created>
  <dcterms:modified xsi:type="dcterms:W3CDTF">2018-06-21T12:16:00Z</dcterms:modified>
</cp:coreProperties>
</file>